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6"/>
          <w:szCs w:val="36"/>
        </w:rPr>
      </w:pPr>
      <w:r w:rsidDel="00000000" w:rsidR="00000000" w:rsidRPr="00000000">
        <w:rPr>
          <w:sz w:val="36"/>
          <w:szCs w:val="36"/>
          <w:rtl w:val="0"/>
        </w:rPr>
        <w:t xml:space="preserve">CONSEIL MUNICIPAL DU 19 MARS 2024</w:t>
      </w:r>
    </w:p>
    <w:p w:rsidR="00000000" w:rsidDel="00000000" w:rsidP="00000000" w:rsidRDefault="00000000" w:rsidRPr="00000000" w14:paraId="00000002">
      <w:pPr>
        <w:pStyle w:val="Title"/>
        <w:rPr>
          <w:sz w:val="36"/>
          <w:szCs w:val="36"/>
        </w:rPr>
      </w:pP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32"/>
          <w:szCs w:val="32"/>
          <w:rtl w:val="0"/>
        </w:rPr>
        <w:t xml:space="preserve">PROJET DE DÉLIBÉRATION</w:t>
      </w:r>
      <w:r w:rsidDel="00000000" w:rsidR="00000000" w:rsidRPr="00000000">
        <w:rPr>
          <w:rFonts w:ascii="Century Gothic" w:cs="Century Gothic" w:eastAsia="Century Gothic" w:hAnsi="Century Gothic"/>
          <w:sz w:val="28"/>
          <w:szCs w:val="28"/>
          <w:rtl w:val="0"/>
        </w:rPr>
        <w:t xml:space="preserve"> </w:t>
      </w:r>
      <w:r w:rsidDel="00000000" w:rsidR="00000000" w:rsidRPr="00000000">
        <w:rPr>
          <w:rFonts w:ascii="Century Gothic" w:cs="Century Gothic" w:eastAsia="Century Gothic" w:hAnsi="Century Gothic"/>
          <w:sz w:val="32"/>
          <w:szCs w:val="32"/>
          <w:rtl w:val="0"/>
        </w:rPr>
        <w:t xml:space="preserve">N° 09</w:t>
      </w:r>
      <w:r w:rsidDel="00000000" w:rsidR="00000000" w:rsidRPr="00000000">
        <w:rPr>
          <w:rtl w:val="0"/>
        </w:rPr>
      </w:r>
    </w:p>
    <w:p w:rsidR="00000000" w:rsidDel="00000000" w:rsidP="00000000" w:rsidRDefault="00000000" w:rsidRPr="00000000" w14:paraId="00000004">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05">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06">
      <w:pPr>
        <w:pStyle w:val="Subtitle"/>
        <w:ind w:right="6238"/>
        <w:rPr>
          <w:sz w:val="28"/>
          <w:szCs w:val="28"/>
        </w:rPr>
      </w:pPr>
      <w:r w:rsidDel="00000000" w:rsidR="00000000" w:rsidRPr="00000000">
        <w:rPr>
          <w:sz w:val="28"/>
          <w:szCs w:val="28"/>
          <w:rtl w:val="0"/>
        </w:rPr>
        <w:t xml:space="preserve">FINANCES</w:t>
      </w:r>
    </w:p>
    <w:p w:rsidR="00000000" w:rsidDel="00000000" w:rsidP="00000000" w:rsidRDefault="00000000" w:rsidRPr="00000000" w14:paraId="00000007">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8">
      <w:pPr>
        <w:pStyle w:val="Subtitle"/>
        <w:pBdr>
          <w:top w:color="000000" w:space="0" w:sz="0" w:val="none"/>
          <w:left w:color="000000" w:space="0" w:sz="0" w:val="none"/>
          <w:bottom w:color="000000" w:space="0" w:sz="0" w:val="none"/>
          <w:right w:color="000000" w:space="0" w:sz="0" w:val="none"/>
        </w:pBdr>
        <w:jc w:val="both"/>
        <w:rPr>
          <w:sz w:val="28"/>
          <w:szCs w:val="28"/>
          <w:u w:val="single"/>
        </w:rPr>
      </w:pPr>
      <w:r w:rsidDel="00000000" w:rsidR="00000000" w:rsidRPr="00000000">
        <w:rPr>
          <w:sz w:val="28"/>
          <w:szCs w:val="28"/>
          <w:u w:val="single"/>
          <w:rtl w:val="0"/>
        </w:rPr>
        <w:t xml:space="preserve">CREATION D’UNE AUTORISATION DE PROGRAMME POUR LA REHABILITATION DU GROUPE SCOLAIRE CHAMPDOUX</w:t>
      </w:r>
    </w:p>
    <w:p w:rsidR="00000000" w:rsidDel="00000000" w:rsidP="00000000" w:rsidRDefault="00000000" w:rsidRPr="00000000" w14:paraId="00000009">
      <w:pPr>
        <w:jc w:val="cente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Conformément aux articles L.2311-3 et R.2311-9 du code général des collectivités territoriales (CGCT), les prévisions budgétaires en investissement peuvent comprendre des autorisations de programme (AP) et des crédits de paiement (CP).</w:t>
      </w:r>
    </w:p>
    <w:p w:rsidR="00000000" w:rsidDel="00000000" w:rsidP="00000000" w:rsidRDefault="00000000" w:rsidRPr="00000000" w14:paraId="0000000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Cette procédure favorise la gestion pluriannuelle d’investissements qui vont se dérouler sur plusieurs années. Elle permet à la commune de ne pas faire supporter au budget de l’année l’intégralité d’une dépense pluriannuelle.</w:t>
      </w:r>
    </w:p>
    <w:p w:rsidR="00000000" w:rsidDel="00000000" w:rsidP="00000000" w:rsidRDefault="00000000" w:rsidRPr="00000000" w14:paraId="0000000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effet, l’article L.2311-3 du CGCT précise que les autorisations de programme constituent la limite supérieure des dépenses qui peuvent être engagées pour le financement des investissements. Elles demeurent valables sans limitation de durée jusqu’à ce qu’il soit procédé à leur annulation. Elles peuvent être révisées.</w:t>
      </w:r>
    </w:p>
    <w:p w:rsidR="00000000" w:rsidDel="00000000" w:rsidP="00000000" w:rsidRDefault="00000000" w:rsidRPr="00000000" w14:paraId="0000000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 crédits de paiement constituent la limite supérieure des dépenses pouvant être mandatées pendant l’année, pour la couverture des engagements contractés dans le cadre des autorisations de programme correspondantes. L’équilibre budgétaire de la section d’investissement s’apprécie en tenant compte des seuls crédits de paiement.</w:t>
      </w:r>
    </w:p>
    <w:p w:rsidR="00000000" w:rsidDel="00000000" w:rsidP="00000000" w:rsidRDefault="00000000" w:rsidRPr="00000000" w14:paraId="0000001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L’article R.2311-9 du CGCT précise également que les autorisations de programme correspondent à des dépenses à caractère pluriannuel se rapportant à une immobilisation ou à un ensemble d’immobilisations déterminées, acquises ou réalisées par la commune, ou à des subventions d’équipement versées à des tiers. Toute modification d’AP/CP doit faire l’objet d’une délibération en conseil municipal et d’une inscription équivalente dans les documents budgétaires.</w:t>
      </w:r>
    </w:p>
    <w:p w:rsidR="00000000" w:rsidDel="00000000" w:rsidP="00000000" w:rsidRDefault="00000000" w:rsidRPr="00000000" w14:paraId="0000001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Il est prévu au budget primitif 2024 la création d’une autorisation de programme pour l’opération relative à la réhabilitation du groupe scolaire Champdoux. Ce programme doit s’étendre sur 3 exercices comptables pour plus de 5 millions d’euros. Le calendrier prévisionnel des crédits de paiement est le suivant : </w:t>
      </w:r>
    </w:p>
    <w:p w:rsidR="00000000" w:rsidDel="00000000" w:rsidP="00000000" w:rsidRDefault="00000000" w:rsidRPr="00000000" w14:paraId="00000015">
      <w:pPr>
        <w:jc w:val="both"/>
        <w:rPr>
          <w:rFonts w:ascii="Century Gothic" w:cs="Century Gothic" w:eastAsia="Century Gothic" w:hAnsi="Century Gothic"/>
          <w:color w:val="ff0000"/>
        </w:rPr>
      </w:pPr>
      <w:r w:rsidDel="00000000" w:rsidR="00000000" w:rsidRPr="00000000">
        <w:rPr>
          <w:rtl w:val="0"/>
        </w:rPr>
      </w:r>
    </w:p>
    <w:p w:rsidR="00000000" w:rsidDel="00000000" w:rsidP="00000000" w:rsidRDefault="00000000" w:rsidRPr="00000000" w14:paraId="00000016">
      <w:pPr>
        <w:jc w:val="both"/>
        <w:rPr>
          <w:rFonts w:ascii="Century Gothic" w:cs="Century Gothic" w:eastAsia="Century Gothic" w:hAnsi="Century Gothic"/>
          <w:color w:val="ff0000"/>
        </w:rPr>
      </w:pPr>
      <w:r w:rsidDel="00000000" w:rsidR="00000000" w:rsidRPr="00000000">
        <w:rPr>
          <w:rtl w:val="0"/>
        </w:rPr>
      </w:r>
    </w:p>
    <w:tbl>
      <w:tblPr>
        <w:tblStyle w:val="Table1"/>
        <w:tblW w:w="10271.0" w:type="dxa"/>
        <w:jc w:val="center"/>
        <w:tblLayout w:type="fixed"/>
        <w:tblLook w:val="0400"/>
      </w:tblPr>
      <w:tblGrid>
        <w:gridCol w:w="993"/>
        <w:gridCol w:w="993"/>
        <w:gridCol w:w="1134"/>
        <w:gridCol w:w="2198"/>
        <w:gridCol w:w="1238"/>
        <w:gridCol w:w="1238"/>
        <w:gridCol w:w="1238"/>
        <w:gridCol w:w="1239"/>
        <w:tblGridChange w:id="0">
          <w:tblGrid>
            <w:gridCol w:w="993"/>
            <w:gridCol w:w="993"/>
            <w:gridCol w:w="1134"/>
            <w:gridCol w:w="2198"/>
            <w:gridCol w:w="1238"/>
            <w:gridCol w:w="1238"/>
            <w:gridCol w:w="1238"/>
            <w:gridCol w:w="1239"/>
          </w:tblGrid>
        </w:tblGridChange>
      </w:tblGrid>
      <w:tr>
        <w:trPr>
          <w:cantSplit w:val="0"/>
          <w:trHeight w:val="252" w:hRule="atLeast"/>
          <w:tblHeader w:val="0"/>
        </w:trPr>
        <w:tc>
          <w:tcPr>
            <w:gridSpan w:val="8"/>
            <w:tcBorders>
              <w:bottom w:color="000000" w:space="0" w:sz="4" w:val="single"/>
            </w:tcBorders>
            <w:vAlign w:val="center"/>
          </w:tcPr>
          <w:p w:rsidR="00000000" w:rsidDel="00000000" w:rsidP="00000000" w:rsidRDefault="00000000" w:rsidRPr="00000000" w14:paraId="00000017">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Dépenses d’investissement :</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F">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Chapitre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20">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Fonction</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21">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Opération</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22">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Libellé</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23">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2024</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24">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2025</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25">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2026</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26">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 TOTAL </w:t>
            </w:r>
          </w:p>
        </w:tc>
      </w:tr>
      <w:tr>
        <w:trPr>
          <w:cantSplit w:val="0"/>
          <w:trHeight w:val="4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8">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201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9">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067</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A">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Frais d'études</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B">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97 000 €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C">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500 000 €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D">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183 400 € </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2E">
            <w:pPr>
              <w:jc w:val="right"/>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780 400 € </w:t>
            </w:r>
          </w:p>
        </w:tc>
      </w:tr>
      <w:tr>
        <w:trPr>
          <w:cantSplit w:val="0"/>
          <w:trHeight w:val="402"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0">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201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1">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067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2">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Travaux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3">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500 000 €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4">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3 000 000 €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5">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289 400 € </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36">
            <w:pPr>
              <w:jc w:val="right"/>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3 789 400 € </w:t>
            </w:r>
          </w:p>
        </w:tc>
      </w:tr>
      <w:tr>
        <w:trPr>
          <w:cantSplit w:val="0"/>
          <w:trHeight w:val="402"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8">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201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9">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067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A">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Frais divers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B">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10 000 €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C">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500 000 €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D">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280 200 € </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3E">
            <w:pPr>
              <w:jc w:val="right"/>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790 200 € </w:t>
            </w:r>
          </w:p>
        </w:tc>
      </w:tr>
      <w:tr>
        <w:trPr>
          <w:cantSplit w:val="0"/>
          <w:trHeight w:val="402"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F">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TOTAL</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43">
            <w:pPr>
              <w:jc w:val="right"/>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610 000 € </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44">
            <w:pPr>
              <w:jc w:val="right"/>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4 000 000 € </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45">
            <w:pPr>
              <w:jc w:val="right"/>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753 000 € </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46">
            <w:pPr>
              <w:jc w:val="right"/>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5 363 000 € </w:t>
            </w:r>
          </w:p>
        </w:tc>
      </w:tr>
    </w:tbl>
    <w:p w:rsidR="00000000" w:rsidDel="00000000" w:rsidP="00000000" w:rsidRDefault="00000000" w:rsidRPr="00000000" w14:paraId="00000047">
      <w:pPr>
        <w:jc w:val="both"/>
        <w:rPr>
          <w:rFonts w:ascii="Century Gothic" w:cs="Century Gothic" w:eastAsia="Century Gothic" w:hAnsi="Century Gothic"/>
          <w:color w:val="ff0000"/>
        </w:rPr>
      </w:pPr>
      <w:r w:rsidDel="00000000" w:rsidR="00000000" w:rsidRPr="00000000">
        <w:rPr>
          <w:rtl w:val="0"/>
        </w:rPr>
      </w:r>
    </w:p>
    <w:p w:rsidR="00000000" w:rsidDel="00000000" w:rsidP="00000000" w:rsidRDefault="00000000" w:rsidRPr="00000000" w14:paraId="00000048">
      <w:pPr>
        <w:jc w:val="both"/>
        <w:rPr>
          <w:rFonts w:ascii="Century Gothic" w:cs="Century Gothic" w:eastAsia="Century Gothic" w:hAnsi="Century Gothic"/>
          <w:color w:val="ff0000"/>
        </w:rPr>
      </w:pPr>
      <w:r w:rsidDel="00000000" w:rsidR="00000000" w:rsidRPr="00000000">
        <w:rPr>
          <w:rtl w:val="0"/>
        </w:rPr>
      </w:r>
    </w:p>
    <w:tbl>
      <w:tblPr>
        <w:tblStyle w:val="Table2"/>
        <w:tblW w:w="10271.0" w:type="dxa"/>
        <w:jc w:val="center"/>
        <w:tblLayout w:type="fixed"/>
        <w:tblLook w:val="0400"/>
      </w:tblPr>
      <w:tblGrid>
        <w:gridCol w:w="993"/>
        <w:gridCol w:w="993"/>
        <w:gridCol w:w="1134"/>
        <w:gridCol w:w="2198"/>
        <w:gridCol w:w="1238"/>
        <w:gridCol w:w="1238"/>
        <w:gridCol w:w="1238"/>
        <w:gridCol w:w="1239"/>
        <w:tblGridChange w:id="0">
          <w:tblGrid>
            <w:gridCol w:w="993"/>
            <w:gridCol w:w="993"/>
            <w:gridCol w:w="1134"/>
            <w:gridCol w:w="2198"/>
            <w:gridCol w:w="1238"/>
            <w:gridCol w:w="1238"/>
            <w:gridCol w:w="1238"/>
            <w:gridCol w:w="1239"/>
          </w:tblGrid>
        </w:tblGridChange>
      </w:tblGrid>
      <w:tr>
        <w:trPr>
          <w:cantSplit w:val="0"/>
          <w:trHeight w:val="252" w:hRule="atLeast"/>
          <w:tblHeader w:val="0"/>
        </w:trPr>
        <w:tc>
          <w:tcPr>
            <w:gridSpan w:val="8"/>
            <w:tcBorders>
              <w:bottom w:color="000000" w:space="0" w:sz="4" w:val="single"/>
            </w:tcBorders>
            <w:vAlign w:val="center"/>
          </w:tcPr>
          <w:p w:rsidR="00000000" w:rsidDel="00000000" w:rsidP="00000000" w:rsidRDefault="00000000" w:rsidRPr="00000000" w14:paraId="00000049">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Recettes d’investissement :</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1">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Chapitre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52">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Fonction</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53">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Opération</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54">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Libellé</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55">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2024</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56">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2025</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57">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2026</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58">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 TOTAL </w:t>
            </w:r>
          </w:p>
        </w:tc>
      </w:tr>
      <w:tr>
        <w:trPr>
          <w:cantSplit w:val="0"/>
          <w:trHeight w:val="4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13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A">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201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B">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067</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C">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Subventions</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D">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460 000 €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E">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840 000 €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F">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280 000 €</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60">
            <w:pPr>
              <w:jc w:val="right"/>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1 580 000 €</w:t>
            </w:r>
          </w:p>
        </w:tc>
      </w:tr>
      <w:tr>
        <w:trPr>
          <w:cantSplit w:val="0"/>
          <w:trHeight w:val="402"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2">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201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3">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067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4">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Emprunt</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5">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150 000 €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6">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1 989 000 €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7">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0 €</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68">
            <w:pPr>
              <w:jc w:val="right"/>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2 139 000 €</w:t>
            </w:r>
          </w:p>
        </w:tc>
      </w:tr>
      <w:tr>
        <w:trPr>
          <w:cantSplit w:val="0"/>
          <w:trHeight w:val="402"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A">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201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B">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067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C">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Autofinancement</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D">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E">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1 171 000 €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F">
            <w:pPr>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473 000 €</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70">
            <w:pPr>
              <w:jc w:val="right"/>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1 644 000 €</w:t>
            </w:r>
          </w:p>
        </w:tc>
      </w:tr>
      <w:tr>
        <w:trPr>
          <w:cantSplit w:val="0"/>
          <w:trHeight w:val="402"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1">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TOTAL</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75">
            <w:pPr>
              <w:jc w:val="right"/>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610 000 € </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76">
            <w:pPr>
              <w:jc w:val="right"/>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4 000 000 € </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77">
            <w:pPr>
              <w:jc w:val="right"/>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753 000 € </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78">
            <w:pPr>
              <w:jc w:val="right"/>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5 363 000 € </w:t>
            </w:r>
          </w:p>
        </w:tc>
      </w:tr>
    </w:tbl>
    <w:p w:rsidR="00000000" w:rsidDel="00000000" w:rsidP="00000000" w:rsidRDefault="00000000" w:rsidRPr="00000000" w14:paraId="00000079">
      <w:pPr>
        <w:jc w:val="both"/>
        <w:rPr>
          <w:rFonts w:ascii="Century Gothic" w:cs="Century Gothic" w:eastAsia="Century Gothic" w:hAnsi="Century Gothic"/>
          <w:color w:val="ff0000"/>
        </w:rPr>
      </w:pPr>
      <w:r w:rsidDel="00000000" w:rsidR="00000000" w:rsidRPr="00000000">
        <w:rPr>
          <w:rtl w:val="0"/>
        </w:rPr>
      </w:r>
    </w:p>
    <w:p w:rsidR="00000000" w:rsidDel="00000000" w:rsidP="00000000" w:rsidRDefault="00000000" w:rsidRPr="00000000" w14:paraId="0000007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Cette AP/CP fera l’objet d’un suivi régulier et sera réactualisée dès que nécessaire. Les subventions attendues seront inscrites au budget après leur notification. </w:t>
      </w:r>
    </w:p>
    <w:p w:rsidR="00000000" w:rsidDel="00000000" w:rsidP="00000000" w:rsidRDefault="00000000" w:rsidRPr="00000000" w14:paraId="0000007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C">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Vu le code général des collectivités territoriales, notamment les articles L.23113 et R.2311-9 du CGCT ;</w:t>
      </w:r>
    </w:p>
    <w:p w:rsidR="00000000" w:rsidDel="00000000" w:rsidP="00000000" w:rsidRDefault="00000000" w:rsidRPr="00000000" w14:paraId="0000007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E">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Vu l’instruction budgétaire et comptable M57 ;</w:t>
      </w:r>
    </w:p>
    <w:p w:rsidR="00000000" w:rsidDel="00000000" w:rsidP="00000000" w:rsidRDefault="00000000" w:rsidRPr="00000000" w14:paraId="0000007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0">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Vu la délibération n°2023/114 du 19 décembre 2023 relative au règlement budgétaire et comptable de la commune ;</w:t>
      </w:r>
    </w:p>
    <w:p w:rsidR="00000000" w:rsidDel="00000000" w:rsidP="00000000" w:rsidRDefault="00000000" w:rsidRPr="00000000" w14:paraId="0000008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2">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Vu la délibération n°2024/… du 19 mars 2024 relative à l’adoption du budget primitif 2024 ;</w:t>
      </w:r>
    </w:p>
    <w:p w:rsidR="00000000" w:rsidDel="00000000" w:rsidP="00000000" w:rsidRDefault="00000000" w:rsidRPr="00000000" w14:paraId="0000008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4">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Vu l’avis de la Commission finances réunie le 12 mars 2024 ;</w:t>
      </w:r>
    </w:p>
    <w:p w:rsidR="00000000" w:rsidDel="00000000" w:rsidP="00000000" w:rsidRDefault="00000000" w:rsidRPr="00000000" w14:paraId="0000008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6">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Il est proposé au Conseil Municipal d’adopter la délibération suivante :</w:t>
      </w:r>
    </w:p>
    <w:p w:rsidR="00000000" w:rsidDel="00000000" w:rsidP="00000000" w:rsidRDefault="00000000" w:rsidRPr="00000000" w14:paraId="00000087">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88">
      <w:pPr>
        <w:numPr>
          <w:ilvl w:val="0"/>
          <w:numId w:val="1"/>
        </w:numPr>
        <w:ind w:left="851" w:hanging="360"/>
        <w:jc w:val="both"/>
        <w:rPr>
          <w:b w:val="1"/>
        </w:rPr>
      </w:pPr>
      <w:r w:rsidDel="00000000" w:rsidR="00000000" w:rsidRPr="00000000">
        <w:rPr>
          <w:rFonts w:ascii="Century Gothic" w:cs="Century Gothic" w:eastAsia="Century Gothic" w:hAnsi="Century Gothic"/>
          <w:b w:val="1"/>
          <w:rtl w:val="0"/>
        </w:rPr>
        <w:t xml:space="preserve">APPROUVE la création d’une autorisation de programme n°2024-01 « Réhabilitation du groupe scolaire Champdoux » selon le détail ci-dessous : </w:t>
      </w:r>
    </w:p>
    <w:p w:rsidR="00000000" w:rsidDel="00000000" w:rsidP="00000000" w:rsidRDefault="00000000" w:rsidRPr="00000000" w14:paraId="00000089">
      <w:pPr>
        <w:jc w:val="both"/>
        <w:rPr>
          <w:rFonts w:ascii="Century Gothic" w:cs="Century Gothic" w:eastAsia="Century Gothic" w:hAnsi="Century Gothic"/>
          <w:b w:val="1"/>
        </w:rPr>
      </w:pPr>
      <w:r w:rsidDel="00000000" w:rsidR="00000000" w:rsidRPr="00000000">
        <w:rPr>
          <w:rtl w:val="0"/>
        </w:rPr>
      </w:r>
    </w:p>
    <w:tbl>
      <w:tblPr>
        <w:tblStyle w:val="Table3"/>
        <w:tblW w:w="90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0"/>
        <w:gridCol w:w="1337"/>
        <w:gridCol w:w="1344"/>
        <w:gridCol w:w="1338"/>
        <w:gridCol w:w="1344"/>
        <w:tblGridChange w:id="0">
          <w:tblGrid>
            <w:gridCol w:w="3700"/>
            <w:gridCol w:w="1337"/>
            <w:gridCol w:w="1344"/>
            <w:gridCol w:w="1338"/>
            <w:gridCol w:w="1344"/>
          </w:tblGrid>
        </w:tblGridChange>
      </w:tblGrid>
      <w:tr>
        <w:trPr>
          <w:cantSplit w:val="0"/>
          <w:trHeight w:val="388" w:hRule="atLeast"/>
          <w:tblHeader w:val="0"/>
        </w:trPr>
        <w:tc>
          <w:tcPr>
            <w:shd w:fill="d9d9d9" w:val="clear"/>
            <w:vAlign w:val="center"/>
          </w:tcPr>
          <w:p w:rsidR="00000000" w:rsidDel="00000000" w:rsidP="00000000" w:rsidRDefault="00000000" w:rsidRPr="00000000" w14:paraId="0000008A">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Libellé opération</w:t>
            </w:r>
          </w:p>
        </w:tc>
        <w:tc>
          <w:tcPr>
            <w:shd w:fill="d9d9d9" w:val="clear"/>
            <w:vAlign w:val="center"/>
          </w:tcPr>
          <w:p w:rsidR="00000000" w:rsidDel="00000000" w:rsidP="00000000" w:rsidRDefault="00000000" w:rsidRPr="00000000" w14:paraId="0000008B">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CP 2024</w:t>
            </w:r>
          </w:p>
        </w:tc>
        <w:tc>
          <w:tcPr>
            <w:shd w:fill="d9d9d9" w:val="clear"/>
            <w:vAlign w:val="center"/>
          </w:tcPr>
          <w:p w:rsidR="00000000" w:rsidDel="00000000" w:rsidP="00000000" w:rsidRDefault="00000000" w:rsidRPr="00000000" w14:paraId="0000008C">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CP 2025</w:t>
            </w:r>
          </w:p>
        </w:tc>
        <w:tc>
          <w:tcPr>
            <w:shd w:fill="d9d9d9" w:val="clear"/>
            <w:vAlign w:val="center"/>
          </w:tcPr>
          <w:p w:rsidR="00000000" w:rsidDel="00000000" w:rsidP="00000000" w:rsidRDefault="00000000" w:rsidRPr="00000000" w14:paraId="0000008D">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CP 2026</w:t>
            </w:r>
          </w:p>
        </w:tc>
        <w:tc>
          <w:tcPr>
            <w:shd w:fill="d9d9d9" w:val="clear"/>
            <w:vAlign w:val="center"/>
          </w:tcPr>
          <w:p w:rsidR="00000000" w:rsidDel="00000000" w:rsidP="00000000" w:rsidRDefault="00000000" w:rsidRPr="00000000" w14:paraId="0000008E">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TOTAL</w:t>
            </w:r>
          </w:p>
        </w:tc>
      </w:tr>
      <w:tr>
        <w:trPr>
          <w:cantSplit w:val="0"/>
          <w:trHeight w:val="691" w:hRule="atLeast"/>
          <w:tblHeader w:val="0"/>
        </w:trPr>
        <w:tc>
          <w:tcPr>
            <w:vAlign w:val="center"/>
          </w:tcPr>
          <w:p w:rsidR="00000000" w:rsidDel="00000000" w:rsidP="00000000" w:rsidRDefault="00000000" w:rsidRPr="00000000" w14:paraId="0000008F">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Réhabilitation du groupe scolaire Champdoux</w:t>
            </w:r>
          </w:p>
        </w:tc>
        <w:tc>
          <w:tcPr>
            <w:vAlign w:val="center"/>
          </w:tcPr>
          <w:p w:rsidR="00000000" w:rsidDel="00000000" w:rsidP="00000000" w:rsidRDefault="00000000" w:rsidRPr="00000000" w14:paraId="00000090">
            <w:pPr>
              <w:jc w:val="righ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610 000 €</w:t>
            </w:r>
          </w:p>
        </w:tc>
        <w:tc>
          <w:tcPr>
            <w:vAlign w:val="center"/>
          </w:tcPr>
          <w:p w:rsidR="00000000" w:rsidDel="00000000" w:rsidP="00000000" w:rsidRDefault="00000000" w:rsidRPr="00000000" w14:paraId="00000091">
            <w:pPr>
              <w:jc w:val="righ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4 000 000 €</w:t>
            </w:r>
          </w:p>
        </w:tc>
        <w:tc>
          <w:tcPr>
            <w:vAlign w:val="center"/>
          </w:tcPr>
          <w:p w:rsidR="00000000" w:rsidDel="00000000" w:rsidP="00000000" w:rsidRDefault="00000000" w:rsidRPr="00000000" w14:paraId="00000092">
            <w:pPr>
              <w:jc w:val="righ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753 000 €</w:t>
            </w:r>
          </w:p>
        </w:tc>
        <w:tc>
          <w:tcPr>
            <w:vAlign w:val="center"/>
          </w:tcPr>
          <w:p w:rsidR="00000000" w:rsidDel="00000000" w:rsidP="00000000" w:rsidRDefault="00000000" w:rsidRPr="00000000" w14:paraId="00000093">
            <w:pPr>
              <w:jc w:val="righ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5 363 000 €</w:t>
            </w:r>
          </w:p>
        </w:tc>
      </w:tr>
    </w:tbl>
    <w:p w:rsidR="00000000" w:rsidDel="00000000" w:rsidP="00000000" w:rsidRDefault="00000000" w:rsidRPr="00000000" w14:paraId="00000094">
      <w:pPr>
        <w:ind w:left="709" w:firstLine="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95">
      <w:pPr>
        <w:numPr>
          <w:ilvl w:val="0"/>
          <w:numId w:val="1"/>
        </w:numPr>
        <w:ind w:left="851" w:hanging="360"/>
        <w:jc w:val="both"/>
        <w:rPr>
          <w:b w:val="1"/>
        </w:rPr>
      </w:pPr>
      <w:r w:rsidDel="00000000" w:rsidR="00000000" w:rsidRPr="00000000">
        <w:rPr>
          <w:rFonts w:ascii="Century Gothic" w:cs="Century Gothic" w:eastAsia="Century Gothic" w:hAnsi="Century Gothic"/>
          <w:b w:val="1"/>
          <w:rtl w:val="0"/>
        </w:rPr>
        <w:t xml:space="preserve">INDIQUE que le montant global de cette autorisation de programme s’élève à 5 563 000 €.</w:t>
      </w:r>
    </w:p>
    <w:p w:rsidR="00000000" w:rsidDel="00000000" w:rsidP="00000000" w:rsidRDefault="00000000" w:rsidRPr="00000000" w14:paraId="00000096">
      <w:pPr>
        <w:ind w:left="709" w:firstLine="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97">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9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9">
      <w:pPr>
        <w:jc w:val="both"/>
        <w:rPr>
          <w:rFonts w:ascii="Century Gothic" w:cs="Century Gothic" w:eastAsia="Century Gothic" w:hAnsi="Century Gothic"/>
        </w:rPr>
      </w:pPr>
      <w:r w:rsidDel="00000000" w:rsidR="00000000" w:rsidRPr="00000000">
        <w:rPr>
          <w:rtl w:val="0"/>
        </w:rPr>
      </w:r>
    </w:p>
    <w:sectPr>
      <w:footerReference r:id="rId6" w:type="default"/>
      <w:pgSz w:h="16840" w:w="11907"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ourier New"/>
  <w:font w:name="Algerian"/>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713" w:hanging="360"/>
      </w:pPr>
      <w:rPr>
        <w:rFonts w:ascii="Arial" w:cs="Arial" w:eastAsia="Arial" w:hAnsi="Arial"/>
      </w:rPr>
    </w:lvl>
    <w:lvl w:ilvl="1">
      <w:start w:val="1"/>
      <w:numFmt w:val="bullet"/>
      <w:lvlText w:val="o"/>
      <w:lvlJc w:val="left"/>
      <w:pPr>
        <w:ind w:left="2433" w:hanging="360"/>
      </w:pPr>
      <w:rPr>
        <w:rFonts w:ascii="Courier New" w:cs="Courier New" w:eastAsia="Courier New" w:hAnsi="Courier New"/>
      </w:rPr>
    </w:lvl>
    <w:lvl w:ilvl="2">
      <w:start w:val="1"/>
      <w:numFmt w:val="bullet"/>
      <w:lvlText w:val="▪"/>
      <w:lvlJc w:val="left"/>
      <w:pPr>
        <w:ind w:left="3153" w:hanging="360"/>
      </w:pPr>
      <w:rPr>
        <w:rFonts w:ascii="Noto Sans Symbols" w:cs="Noto Sans Symbols" w:eastAsia="Noto Sans Symbols" w:hAnsi="Noto Sans Symbols"/>
      </w:rPr>
    </w:lvl>
    <w:lvl w:ilvl="3">
      <w:start w:val="1"/>
      <w:numFmt w:val="bullet"/>
      <w:lvlText w:val="●"/>
      <w:lvlJc w:val="left"/>
      <w:pPr>
        <w:ind w:left="3873" w:hanging="360"/>
      </w:pPr>
      <w:rPr>
        <w:rFonts w:ascii="Noto Sans Symbols" w:cs="Noto Sans Symbols" w:eastAsia="Noto Sans Symbols" w:hAnsi="Noto Sans Symbols"/>
      </w:rPr>
    </w:lvl>
    <w:lvl w:ilvl="4">
      <w:start w:val="1"/>
      <w:numFmt w:val="bullet"/>
      <w:lvlText w:val="o"/>
      <w:lvlJc w:val="left"/>
      <w:pPr>
        <w:ind w:left="4593" w:hanging="360"/>
      </w:pPr>
      <w:rPr>
        <w:rFonts w:ascii="Courier New" w:cs="Courier New" w:eastAsia="Courier New" w:hAnsi="Courier New"/>
      </w:rPr>
    </w:lvl>
    <w:lvl w:ilvl="5">
      <w:start w:val="1"/>
      <w:numFmt w:val="bullet"/>
      <w:lvlText w:val="▪"/>
      <w:lvlJc w:val="left"/>
      <w:pPr>
        <w:ind w:left="5313" w:hanging="360"/>
      </w:pPr>
      <w:rPr>
        <w:rFonts w:ascii="Noto Sans Symbols" w:cs="Noto Sans Symbols" w:eastAsia="Noto Sans Symbols" w:hAnsi="Noto Sans Symbols"/>
      </w:rPr>
    </w:lvl>
    <w:lvl w:ilvl="6">
      <w:start w:val="1"/>
      <w:numFmt w:val="bullet"/>
      <w:lvlText w:val="●"/>
      <w:lvlJc w:val="left"/>
      <w:pPr>
        <w:ind w:left="6033" w:hanging="360"/>
      </w:pPr>
      <w:rPr>
        <w:rFonts w:ascii="Noto Sans Symbols" w:cs="Noto Sans Symbols" w:eastAsia="Noto Sans Symbols" w:hAnsi="Noto Sans Symbols"/>
      </w:rPr>
    </w:lvl>
    <w:lvl w:ilvl="7">
      <w:start w:val="1"/>
      <w:numFmt w:val="bullet"/>
      <w:lvlText w:val="o"/>
      <w:lvlJc w:val="left"/>
      <w:pPr>
        <w:ind w:left="6753" w:hanging="360"/>
      </w:pPr>
      <w:rPr>
        <w:rFonts w:ascii="Courier New" w:cs="Courier New" w:eastAsia="Courier New" w:hAnsi="Courier New"/>
      </w:rPr>
    </w:lvl>
    <w:lvl w:ilvl="8">
      <w:start w:val="1"/>
      <w:numFmt w:val="bullet"/>
      <w:lvlText w:val="▪"/>
      <w:lvlJc w:val="left"/>
      <w:pPr>
        <w:ind w:left="7473"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6" w:val="single"/>
        <w:left w:color="000000" w:space="1" w:sz="6" w:val="single"/>
        <w:bottom w:color="000000" w:space="1" w:sz="6" w:val="single"/>
        <w:right w:color="000000" w:space="1" w:sz="6" w:val="single"/>
      </w:pBdr>
      <w:ind w:left="1701" w:right="7087"/>
    </w:pPr>
    <w:rPr>
      <w:rFonts w:ascii="Algerian" w:cs="Algerian" w:eastAsia="Algerian" w:hAnsi="Algerian"/>
      <w:sz w:val="30"/>
      <w:szCs w:val="30"/>
    </w:rPr>
  </w:style>
  <w:style w:type="paragraph" w:styleId="Heading2">
    <w:name w:val="heading 2"/>
    <w:basedOn w:val="Normal"/>
    <w:next w:val="Normal"/>
    <w:pPr>
      <w:keepNext w:val="1"/>
      <w:ind w:left="1701" w:right="1224"/>
      <w:jc w:val="both"/>
    </w:pPr>
    <w:rPr>
      <w:sz w:val="28"/>
      <w:szCs w:val="28"/>
    </w:rPr>
  </w:style>
  <w:style w:type="paragraph" w:styleId="Heading3">
    <w:name w:val="heading 3"/>
    <w:basedOn w:val="Normal"/>
    <w:next w:val="Normal"/>
    <w:pPr>
      <w:keepNext w:val="1"/>
      <w:ind w:left="1701"/>
    </w:pPr>
    <w:rPr>
      <w:sz w:val="28"/>
      <w:szCs w:val="28"/>
      <w:u w:val="single"/>
    </w:rPr>
  </w:style>
  <w:style w:type="paragraph" w:styleId="Heading4">
    <w:name w:val="heading 4"/>
    <w:basedOn w:val="Normal"/>
    <w:next w:val="Normal"/>
    <w:pPr>
      <w:keepNext w:val="1"/>
      <w:ind w:left="1701" w:right="941"/>
      <w:jc w:val="both"/>
    </w:pPr>
    <w:rPr>
      <w:sz w:val="28"/>
      <w:szCs w:val="28"/>
    </w:rPr>
  </w:style>
  <w:style w:type="paragraph" w:styleId="Heading5">
    <w:name w:val="heading 5"/>
    <w:basedOn w:val="Normal"/>
    <w:next w:val="Normal"/>
    <w:pPr>
      <w:keepNext w:val="1"/>
      <w:ind w:left="1701" w:right="0"/>
      <w:jc w:val="both"/>
    </w:pPr>
    <w:rPr>
      <w:sz w:val="28"/>
      <w:szCs w:val="28"/>
    </w:rPr>
  </w:style>
  <w:style w:type="paragraph" w:styleId="Heading6">
    <w:name w:val="heading 6"/>
    <w:basedOn w:val="Normal"/>
    <w:next w:val="Normal"/>
    <w:pPr>
      <w:keepNext w:val="1"/>
      <w:jc w:val="center"/>
    </w:pPr>
    <w:rPr>
      <w:sz w:val="28"/>
      <w:szCs w:val="28"/>
    </w:rPr>
  </w:style>
  <w:style w:type="paragraph" w:styleId="Title">
    <w:name w:val="Title"/>
    <w:basedOn w:val="Normal"/>
    <w:next w:val="Normal"/>
    <w:pPr>
      <w:jc w:val="center"/>
    </w:pPr>
    <w:rPr>
      <w:rFonts w:ascii="Century Gothic" w:cs="Century Gothic" w:eastAsia="Century Gothic" w:hAnsi="Century Gothic"/>
      <w:sz w:val="40"/>
      <w:szCs w:val="40"/>
    </w:rPr>
  </w:style>
  <w:style w:type="paragraph" w:styleId="Subtitle">
    <w:name w:val="Subtitle"/>
    <w:basedOn w:val="Normal"/>
    <w:next w:val="Normal"/>
    <w:pPr>
      <w:pBdr>
        <w:top w:color="000000" w:space="1" w:sz="4" w:val="single"/>
        <w:left w:color="000000" w:space="4" w:sz="4" w:val="single"/>
        <w:bottom w:color="000000" w:space="1" w:sz="4" w:val="single"/>
        <w:right w:color="000000" w:space="4" w:sz="4" w:val="single"/>
      </w:pBdr>
      <w:jc w:val="center"/>
    </w:pPr>
    <w:rPr>
      <w:rFonts w:ascii="Century Gothic" w:cs="Century Gothic" w:eastAsia="Century Gothic" w:hAnsi="Century Gothic"/>
      <w:b w:val="1"/>
      <w:sz w:val="36"/>
      <w:szCs w:val="3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